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70" w:rsidRDefault="00592F70" w:rsidP="00592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9A9" w:rsidRPr="00D729A9" w:rsidRDefault="00D729A9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715C71" wp14:editId="17F40DA1">
            <wp:extent cx="3429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A9" w:rsidRPr="00D729A9" w:rsidRDefault="00D729A9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D729A9" w:rsidRPr="00D729A9" w:rsidRDefault="00D729A9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D729A9" w:rsidRPr="00D729A9" w:rsidRDefault="00D729A9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D729A9" w:rsidRPr="00D729A9" w:rsidRDefault="00D729A9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D729A9" w:rsidRPr="00D729A9" w:rsidRDefault="00D729A9" w:rsidP="00D729A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</w:pPr>
      <w:r w:rsidRPr="00D729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РЕШЕНИЕ</w:t>
      </w:r>
    </w:p>
    <w:p w:rsidR="00D729A9" w:rsidRPr="00D729A9" w:rsidRDefault="00D729A9" w:rsidP="00D729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729A9" w:rsidRPr="00D729A9" w:rsidRDefault="00D729A9" w:rsidP="00D7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7656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25 </w:t>
      </w: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="007656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марта </w:t>
      </w: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2013 года </w:t>
      </w: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D729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№</w:t>
      </w:r>
      <w:r w:rsidR="007656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334</w:t>
      </w:r>
    </w:p>
    <w:p w:rsidR="00D729A9" w:rsidRDefault="00D729A9" w:rsidP="00D7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48" w:rsidRPr="00D729A9" w:rsidRDefault="00274F48" w:rsidP="00D7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10" w:rsidRPr="00592F70" w:rsidRDefault="00090B10" w:rsidP="0059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92F70" w:rsidRPr="00592F70" w:rsidTr="00D729A9">
        <w:tc>
          <w:tcPr>
            <w:tcW w:w="4219" w:type="dxa"/>
          </w:tcPr>
          <w:p w:rsidR="00592F70" w:rsidRPr="00592F70" w:rsidRDefault="00E16214" w:rsidP="00D7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92F70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Контрольно-счетной палаты</w:t>
            </w:r>
            <w:r w:rsidR="00D7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7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Мегион за 2012 год</w:t>
            </w:r>
          </w:p>
        </w:tc>
      </w:tr>
    </w:tbl>
    <w:p w:rsidR="00592F70" w:rsidRDefault="00592F70" w:rsidP="00592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0B10" w:rsidRDefault="00090B10" w:rsidP="00592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0B10" w:rsidRDefault="00090B10" w:rsidP="00592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0B10" w:rsidRPr="00592F70" w:rsidRDefault="00090B10" w:rsidP="00592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2F70" w:rsidRPr="00592F70" w:rsidRDefault="00592F70" w:rsidP="0059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70">
        <w:rPr>
          <w:rFonts w:ascii="Times New Roman" w:hAnsi="Times New Roman" w:cs="Times New Roman"/>
          <w:sz w:val="24"/>
          <w:szCs w:val="24"/>
        </w:rPr>
        <w:tab/>
        <w:t xml:space="preserve">Рассмотрев </w:t>
      </w:r>
      <w:r w:rsidR="00CC491B">
        <w:rPr>
          <w:rFonts w:ascii="Times New Roman" w:hAnsi="Times New Roman" w:cs="Times New Roman"/>
          <w:sz w:val="24"/>
          <w:szCs w:val="24"/>
        </w:rPr>
        <w:t>проект решения Думы города Мегиона «О</w:t>
      </w:r>
      <w:r w:rsidR="00E16214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Контрольно-счетной палаты городского </w:t>
      </w:r>
      <w:r w:rsidR="00E16214">
        <w:rPr>
          <w:rFonts w:ascii="Times New Roman" w:hAnsi="Times New Roman" w:cs="Times New Roman"/>
          <w:sz w:val="24"/>
          <w:szCs w:val="24"/>
        </w:rPr>
        <w:t>округа город Мегион за 2012 год</w:t>
      </w:r>
      <w:r w:rsidR="00CC491B">
        <w:rPr>
          <w:rFonts w:ascii="Times New Roman" w:hAnsi="Times New Roman" w:cs="Times New Roman"/>
          <w:sz w:val="24"/>
          <w:szCs w:val="24"/>
        </w:rPr>
        <w:t xml:space="preserve">», </w:t>
      </w:r>
      <w:r w:rsidRPr="00592F70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92F70">
        <w:rPr>
          <w:rFonts w:ascii="Times New Roman" w:hAnsi="Times New Roman" w:cs="Times New Roman"/>
          <w:sz w:val="24"/>
          <w:szCs w:val="24"/>
        </w:rPr>
        <w:t xml:space="preserve"> устава города Мегиона, Дума города Мегиона</w:t>
      </w:r>
    </w:p>
    <w:p w:rsidR="00592F70" w:rsidRPr="00592F70" w:rsidRDefault="00592F70" w:rsidP="0059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F70" w:rsidRPr="00592F70" w:rsidRDefault="00592F70" w:rsidP="00592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F70">
        <w:rPr>
          <w:rFonts w:ascii="Times New Roman" w:hAnsi="Times New Roman" w:cs="Times New Roman"/>
          <w:sz w:val="24"/>
          <w:szCs w:val="24"/>
        </w:rPr>
        <w:t>РЕШИЛА:</w:t>
      </w:r>
    </w:p>
    <w:p w:rsidR="00592F70" w:rsidRPr="00592F70" w:rsidRDefault="00592F70" w:rsidP="00592F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2F70" w:rsidRPr="00592F70" w:rsidRDefault="00592F70" w:rsidP="00592F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2F70">
        <w:rPr>
          <w:rFonts w:ascii="Times New Roman" w:hAnsi="Times New Roman" w:cs="Times New Roman"/>
          <w:sz w:val="24"/>
          <w:szCs w:val="24"/>
        </w:rPr>
        <w:t xml:space="preserve">1. </w:t>
      </w:r>
      <w:r w:rsidR="00CC491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отчет о деятельности Контрольно-счетной палаты городского округа город Мегион за 2012 год </w:t>
      </w:r>
      <w:r w:rsidR="002108CA">
        <w:rPr>
          <w:rFonts w:ascii="Times New Roman" w:hAnsi="Times New Roman" w:cs="Times New Roman"/>
          <w:sz w:val="24"/>
          <w:szCs w:val="24"/>
        </w:rPr>
        <w:t>(</w:t>
      </w:r>
      <w:r w:rsidR="007F7F46">
        <w:rPr>
          <w:rFonts w:ascii="Times New Roman" w:hAnsi="Times New Roman" w:cs="Times New Roman"/>
          <w:sz w:val="24"/>
          <w:szCs w:val="24"/>
        </w:rPr>
        <w:t>прил</w:t>
      </w:r>
      <w:r w:rsidR="002108CA">
        <w:rPr>
          <w:rFonts w:ascii="Times New Roman" w:hAnsi="Times New Roman" w:cs="Times New Roman"/>
          <w:sz w:val="24"/>
          <w:szCs w:val="24"/>
        </w:rPr>
        <w:t>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F70" w:rsidRPr="00592F70" w:rsidRDefault="00592F70" w:rsidP="00592F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2F7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D56176">
        <w:rPr>
          <w:rFonts w:ascii="Times New Roman" w:hAnsi="Times New Roman" w:cs="Times New Roman"/>
          <w:sz w:val="24"/>
          <w:szCs w:val="24"/>
        </w:rPr>
        <w:t xml:space="preserve">его подписания и подлежит </w:t>
      </w:r>
      <w:r w:rsidRPr="00592F70">
        <w:rPr>
          <w:rFonts w:ascii="Times New Roman" w:hAnsi="Times New Roman" w:cs="Times New Roman"/>
          <w:sz w:val="24"/>
          <w:szCs w:val="24"/>
        </w:rPr>
        <w:t>официально</w:t>
      </w:r>
      <w:r w:rsidR="00D56176">
        <w:rPr>
          <w:rFonts w:ascii="Times New Roman" w:hAnsi="Times New Roman" w:cs="Times New Roman"/>
          <w:sz w:val="24"/>
          <w:szCs w:val="24"/>
        </w:rPr>
        <w:t>му</w:t>
      </w:r>
      <w:r w:rsidRPr="00592F70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E16214">
        <w:rPr>
          <w:rFonts w:ascii="Times New Roman" w:hAnsi="Times New Roman" w:cs="Times New Roman"/>
          <w:sz w:val="24"/>
          <w:szCs w:val="24"/>
        </w:rPr>
        <w:t>ю</w:t>
      </w:r>
      <w:r w:rsidRPr="00592F70">
        <w:rPr>
          <w:rFonts w:ascii="Times New Roman" w:hAnsi="Times New Roman" w:cs="Times New Roman"/>
          <w:sz w:val="24"/>
          <w:szCs w:val="24"/>
        </w:rPr>
        <w:t>.</w:t>
      </w:r>
    </w:p>
    <w:p w:rsidR="00592F70" w:rsidRDefault="00592F70" w:rsidP="0059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176" w:rsidRDefault="00D56176" w:rsidP="0059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A4E" w:rsidRDefault="00254A4E" w:rsidP="0059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A4E" w:rsidRPr="00592F70" w:rsidRDefault="00254A4E" w:rsidP="0059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F70" w:rsidRPr="00D729A9" w:rsidRDefault="00592F70" w:rsidP="0059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Председатель Думы города Мегиона                             </w:t>
      </w:r>
      <w:r w:rsidRPr="00D729A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729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0B10" w:rsidRPr="00D729A9">
        <w:rPr>
          <w:rFonts w:ascii="Times New Roman" w:hAnsi="Times New Roman" w:cs="Times New Roman"/>
          <w:sz w:val="24"/>
          <w:szCs w:val="24"/>
        </w:rPr>
        <w:t>В.И.Бойко</w:t>
      </w:r>
      <w:r w:rsidRPr="00D7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2F70" w:rsidRPr="00D729A9" w:rsidRDefault="00592F70" w:rsidP="0059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4E" w:rsidRPr="00D729A9" w:rsidRDefault="00592F70" w:rsidP="0025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9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29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29A9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ab/>
      </w:r>
      <w:r w:rsidRPr="00D729A9">
        <w:rPr>
          <w:rFonts w:ascii="Times New Roman" w:hAnsi="Times New Roman" w:cs="Times New Roman"/>
          <w:sz w:val="24"/>
          <w:szCs w:val="24"/>
        </w:rPr>
        <w:tab/>
      </w:r>
      <w:r w:rsidRPr="00D729A9">
        <w:rPr>
          <w:rFonts w:ascii="Times New Roman" w:hAnsi="Times New Roman" w:cs="Times New Roman"/>
          <w:sz w:val="24"/>
          <w:szCs w:val="24"/>
        </w:rPr>
        <w:tab/>
      </w:r>
      <w:r w:rsidRPr="00D729A9">
        <w:rPr>
          <w:rFonts w:ascii="Times New Roman" w:hAnsi="Times New Roman" w:cs="Times New Roman"/>
          <w:sz w:val="24"/>
          <w:szCs w:val="24"/>
        </w:rPr>
        <w:tab/>
      </w:r>
      <w:r w:rsidRPr="00D729A9">
        <w:rPr>
          <w:rFonts w:ascii="Times New Roman" w:hAnsi="Times New Roman" w:cs="Times New Roman"/>
          <w:sz w:val="24"/>
          <w:szCs w:val="24"/>
        </w:rPr>
        <w:tab/>
      </w:r>
      <w:r w:rsidRPr="00D729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29A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592F70" w:rsidRPr="00D729A9" w:rsidRDefault="007656EC" w:rsidP="0059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</w:t>
      </w:r>
      <w:r w:rsidR="00592F70" w:rsidRPr="00D729A9">
        <w:rPr>
          <w:rFonts w:ascii="Times New Roman" w:hAnsi="Times New Roman" w:cs="Times New Roman"/>
          <w:sz w:val="24"/>
          <w:szCs w:val="24"/>
        </w:rPr>
        <w:t>20</w:t>
      </w:r>
      <w:r w:rsidR="00090B10" w:rsidRPr="00D729A9">
        <w:rPr>
          <w:rFonts w:ascii="Times New Roman" w:hAnsi="Times New Roman" w:cs="Times New Roman"/>
          <w:sz w:val="24"/>
          <w:szCs w:val="24"/>
        </w:rPr>
        <w:t>13</w:t>
      </w:r>
      <w:r w:rsidR="00592F70" w:rsidRPr="00D7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BF" w:rsidRPr="00D729A9" w:rsidRDefault="00356FBF" w:rsidP="00592F70">
      <w:pPr>
        <w:rPr>
          <w:sz w:val="24"/>
          <w:szCs w:val="24"/>
        </w:rPr>
      </w:pPr>
    </w:p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7546EA" w:rsidRDefault="007546EA" w:rsidP="00592F70"/>
    <w:p w:rsidR="00D729A9" w:rsidRDefault="00D729A9" w:rsidP="00592F70"/>
    <w:p w:rsidR="00F01130" w:rsidRDefault="00F01130" w:rsidP="00402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1130" w:rsidRPr="00D729A9" w:rsidRDefault="005D7BDF" w:rsidP="00F01130">
      <w:pPr>
        <w:tabs>
          <w:tab w:val="left" w:pos="708"/>
          <w:tab w:val="center" w:pos="4677"/>
          <w:tab w:val="right" w:pos="9355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F01130"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1130" w:rsidRPr="00D729A9" w:rsidRDefault="005D7BDF" w:rsidP="00F0113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F01130" w:rsidRPr="00D72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решению Думы </w:t>
      </w:r>
    </w:p>
    <w:p w:rsidR="00F01130" w:rsidRPr="00D729A9" w:rsidRDefault="005D7BDF" w:rsidP="00F0113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F01130" w:rsidRPr="00D72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 Мегиона</w:t>
      </w:r>
    </w:p>
    <w:p w:rsidR="00F01130" w:rsidRPr="00D729A9" w:rsidRDefault="005D7BDF" w:rsidP="00F0113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от </w:t>
      </w:r>
      <w:r w:rsidR="007656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25.03.2013 № 334</w:t>
      </w:r>
      <w:bookmarkStart w:id="0" w:name="_GoBack"/>
      <w:bookmarkEnd w:id="0"/>
    </w:p>
    <w:p w:rsidR="00F01130" w:rsidRPr="00D729A9" w:rsidRDefault="00F01130" w:rsidP="00F011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01130" w:rsidRPr="00D729A9" w:rsidRDefault="00F01130" w:rsidP="00F011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01130" w:rsidRPr="005D7BDF" w:rsidRDefault="00F01130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Отчёт</w:t>
      </w:r>
    </w:p>
    <w:p w:rsidR="00F01130" w:rsidRPr="005D7BDF" w:rsidRDefault="00F01130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Контрольно-счётной палаты городского округа город Мегион за 2012 год</w:t>
      </w:r>
    </w:p>
    <w:p w:rsidR="00F01130" w:rsidRPr="005D7BDF" w:rsidRDefault="00F01130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30" w:rsidRPr="005D7BDF" w:rsidRDefault="00F01130" w:rsidP="00D729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4888226"/>
      <w:bookmarkEnd w:id="1"/>
      <w:r w:rsidRPr="005D7B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Вводные положения</w:t>
      </w:r>
    </w:p>
    <w:p w:rsidR="00F01130" w:rsidRPr="00D729A9" w:rsidRDefault="00F01130" w:rsidP="00D72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 о деятельности Контрольно-счётной палаты городского округа город Мегион (далее – Контрольно-счётная палата) за 2012 год подготовлен в соответствии с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города Мегиона.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города от 27.01.2012 № 222 «О Контрольно-счётной палате городского округа город Мегион» </w:t>
      </w:r>
      <w:r w:rsidRPr="00D729A9">
        <w:rPr>
          <w:rFonts w:ascii="Times New Roman" w:eastAsia="Calibri" w:hAnsi="Times New Roman" w:cs="Times New Roman"/>
          <w:sz w:val="24"/>
          <w:szCs w:val="24"/>
        </w:rPr>
        <w:t xml:space="preserve">образован контрольно-счётный орган муниципального образования Контрольно-счетная палата, входящий в структуру органов местного самоуправления города Мегиона, с наделением правами  юридического лица. 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A9">
        <w:rPr>
          <w:rFonts w:ascii="Times New Roman" w:eastAsia="Calibri" w:hAnsi="Times New Roman" w:cs="Times New Roman"/>
          <w:sz w:val="24"/>
          <w:szCs w:val="24"/>
        </w:rPr>
        <w:t>Деятельность Контрольно-счетной палаты осуществлялась с момента регистрации юридического лица в налоговых органах 05.03.2012, полноценное функционирование началось после проведения процедуры назначения председателя, заместителя председателя и аудиторов и приема на работу остального штата должностных лиц.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A9">
        <w:rPr>
          <w:rFonts w:ascii="Times New Roman" w:eastAsia="Calibri" w:hAnsi="Times New Roman" w:cs="Times New Roman"/>
          <w:sz w:val="24"/>
          <w:szCs w:val="24"/>
        </w:rPr>
        <w:t>Настоящий отчет отражает основные показатели деятельности Контрольно-счетной палаты за фактический период деятельности данного юридического лица с марта по декабрь 2012 года.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задачи Контрольно-счётной палаты в отчётном периоде заключались в </w:t>
      </w:r>
      <w:proofErr w:type="gramStart"/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в определении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законности, результативности (эффективности и экономности) </w:t>
      </w: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средств местного бюджета и муниципальной собственности. Деятельность Контрольно-счётной палаты была направлена на профилактику нарушений в финансовой и имущественной </w:t>
      </w:r>
      <w:proofErr w:type="gramStart"/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сферах</w:t>
      </w:r>
      <w:proofErr w:type="gramEnd"/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предотвращение избыточных расходов бюджета.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Контрольно-счётной палатой города проводился анализ встречающихся в ходе контрольной и экспертно-аналитической деятельности нарушений, выявлялись их причины, обозначались риски в деятельности органов исполнительной власти, препятствующие выполнению возложенных на них функций.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Контрольно-счётной палаты осуществляется на основе принципов законности, объективности, эффективности, независимости и гласности. Одной из форм реализации принципа гласности является отчёт о деятельности Контрольно-счётной палаты.</w:t>
      </w:r>
    </w:p>
    <w:p w:rsidR="00F01130" w:rsidRPr="00D729A9" w:rsidRDefault="00F01130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161" w:rsidRPr="005D7BDF" w:rsidRDefault="00402161" w:rsidP="005D7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Общие показатели деятельности Контрольно-счётной палаты в 2012 году</w:t>
      </w:r>
    </w:p>
    <w:p w:rsidR="00402161" w:rsidRPr="00D729A9" w:rsidRDefault="00402161" w:rsidP="00D729A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Контрольно-счётной палаты на 2012 год сформирован, исходя из необходимости реализации закреплённых за ней полномочий, и утверждён распоряжением Контрольно-счетной палаты от 05.05.2012 № 5.</w:t>
      </w: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 основании плана работы, а также требований прокурора города Мегиона Контрольно-счётной палатой в 2012 году проведено:</w:t>
      </w:r>
    </w:p>
    <w:p w:rsidR="00402161" w:rsidRPr="00D729A9" w:rsidRDefault="00402161" w:rsidP="00D729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729A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15 контрольных мероприятий;</w:t>
      </w:r>
    </w:p>
    <w:p w:rsidR="00402161" w:rsidRPr="00D729A9" w:rsidRDefault="00402161" w:rsidP="00D729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2)</w:t>
      </w:r>
      <w:r w:rsidRPr="00D729A9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</w:t>
      </w:r>
      <w:r w:rsidRPr="00D729A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133 экспертно-аналитических мероприятий. </w:t>
      </w: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Контрольно-счётной палаты за 2012 год, приведены в таблице 1.</w:t>
      </w:r>
    </w:p>
    <w:p w:rsidR="005D7BDF" w:rsidRDefault="005D7BDF" w:rsidP="00D729A9">
      <w:pPr>
        <w:widowControl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161" w:rsidRPr="00D729A9" w:rsidRDefault="00402161" w:rsidP="00D729A9">
      <w:pPr>
        <w:widowControl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91"/>
        <w:gridCol w:w="7206"/>
        <w:gridCol w:w="1559"/>
      </w:tblGrid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утверждённая/факт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специалистов, участвующих в проведении контрольных и экспертно-аналитических мероприятий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A9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содержание контрольно-счетного органа в 2012 году (факт) (тыс. 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7 587,1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 мероприятий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экспертно-аналитических мероприятий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Охвачено контрольными мероприятиями объектов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проверенных средств (тыс. 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910 129,9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Выявлено нарушений (тыс. 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66 639,1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Предотвращено неэффективных расходов бюджета (тыс. 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2 739,5 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(тыс. 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12 694,3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в бюджет (тыс. рублей)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2 265,9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устранённых нарушений (в том числе предотвращенных и возмещённых) </w:t>
            </w:r>
            <w:proofErr w:type="gramStart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7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402161" w:rsidRPr="00D729A9" w:rsidTr="00C60FFA">
        <w:tc>
          <w:tcPr>
            <w:tcW w:w="591" w:type="dxa"/>
          </w:tcPr>
          <w:p w:rsidR="00402161" w:rsidRPr="00D729A9" w:rsidRDefault="00402161" w:rsidP="00D729A9">
            <w:pPr>
              <w:widowControl w:val="0"/>
              <w:ind w:right="-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6" w:type="dxa"/>
          </w:tcPr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 (тыс. рублей):</w:t>
            </w:r>
          </w:p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объем выявленных нарушений на 1 сотрудника;</w:t>
            </w:r>
          </w:p>
          <w:p w:rsidR="00402161" w:rsidRPr="00D729A9" w:rsidRDefault="00402161" w:rsidP="00D729A9">
            <w:pPr>
              <w:widowControl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объем устраненных финансовых нарушений на 1 сотрудника  </w:t>
            </w:r>
          </w:p>
        </w:tc>
        <w:tc>
          <w:tcPr>
            <w:tcW w:w="1559" w:type="dxa"/>
          </w:tcPr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9 519,9</w:t>
            </w:r>
          </w:p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2 528,5</w:t>
            </w:r>
          </w:p>
          <w:p w:rsidR="00402161" w:rsidRPr="00D729A9" w:rsidRDefault="00402161" w:rsidP="00D729A9">
            <w:pPr>
              <w:widowControl w:val="0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письма о результатах контрольных мероприятий, сделанные по результатам данных мероприятий выводы и предложения, а также заключения по результатам экспертно-аналитических мероприятий направлялись в адрес главы города Мегиона, Думы города Мегиона, правоохранительных органов (в соответствии с соглашениями). Представления об устранении выявленных нарушений направляются в адрес объектов контрольного мероприятия, главе города Мегиона.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палатой ведётся постоянный мониторинг исполнения направленных представлений.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61" w:rsidRPr="005D7BDF" w:rsidRDefault="00402161" w:rsidP="00D7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Контрольная деятельность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hyperlink r:id="rId9" w:history="1">
        <w:r w:rsidRPr="00D729A9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729A9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на 2012 год (с учетом вносимых в течение 2012 года изменений) предусмотрено проведение 9-ти контрольных мероприятий (проверок).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Фактически, в отчетном периоде проведено 15</w:t>
      </w:r>
      <w:r w:rsidRPr="00D72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9A9">
        <w:rPr>
          <w:rFonts w:ascii="Times New Roman" w:hAnsi="Times New Roman" w:cs="Times New Roman"/>
          <w:sz w:val="24"/>
          <w:szCs w:val="24"/>
        </w:rPr>
        <w:t>контрольных мероприятий, дополнительно проведено 6 внеплановых проверок на основании требований прокурора города Мегиона.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Этапы проведения всех контрольных мероприятий на объектах завершены в 2012 году, отчет по мероприятию «Использование бюджетных средств, выделенных для подготовки объектов  городского округа город Мегион к работе в осенне-зимний период 2012-2013 годов» утвержден в январе 2013 года.  Кроме того, проверка использования бюджетных средств, выделенных на реализацию целевой программы Ханты-Мансийского автономного округа-Югры «Модернизация и реформирование жилищно-коммунального комплекса»  на 2011-2013 годы и на плановый период до 2015 года» является переходящим контрольным мероприятием, то есть, начата в 2012 году, а окончена в 2013.</w:t>
      </w:r>
    </w:p>
    <w:p w:rsidR="00402161" w:rsidRPr="00D729A9" w:rsidRDefault="00402161" w:rsidP="00D729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  <w:lang w:eastAsia="ru-RU"/>
        </w:rPr>
        <w:tab/>
        <w:t>Завершение контрольных мероприятий согласно плану работы планировалось в пределах 2012 года. В</w:t>
      </w:r>
      <w:r w:rsidRPr="00D729A9">
        <w:rPr>
          <w:rFonts w:ascii="Times New Roman" w:hAnsi="Times New Roman" w:cs="Times New Roman"/>
          <w:sz w:val="24"/>
          <w:szCs w:val="24"/>
        </w:rPr>
        <w:t xml:space="preserve"> связи с требованием прокурора города Мегиона о проведении контрольного мероприятия по проверке расходования бюджетных средств муниципальными образовательными учреждениями дополнительного образования детей, срок проведения плановых контрольных мероприятий был продлен. 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В настоящее время контрольные мероприятия завершены. Полная информация о результатах данных контрольных мероприятий направлена в адрес главы города и председателя Думы города в январе 2013 года. </w:t>
      </w:r>
    </w:p>
    <w:p w:rsidR="00402161" w:rsidRPr="00D729A9" w:rsidRDefault="00402161" w:rsidP="00D729A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lastRenderedPageBreak/>
        <w:t>За 2012 год контрольными мероприятиями охвачены следующие направления: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расходование средств бюджета городского округа город Мегион на осуществление мероприятий по реализации городских целевых программ – 3 проверки, в том числе использование средств местного бюджета, предоставленных в виде субсидий - 2 проверки;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расходование средств бюджета города на реализацию ведомственных целевых программ - 1 проверка;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расходование бюджетных средств на осуществление мероприятий по реализации целевых программ Ханты-Мансийского автономного округа и принятых в их исполнение аналогичных городских программ – 1 проверка;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использование средств местного и окружного бюджета, направленных на инвестирование в капитальное строительство объектов муниципальной собственности – 1 проверка;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использование средств бюджета городского округа при установлении и начислении заработной платы работникам муниципальных органов и учреждений – 7 проверок;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соблюдение установленных принципов формирования муниципального заказа и эффективности его интеграции в бюджетный процесс – 1 проверка;</w:t>
      </w:r>
    </w:p>
    <w:p w:rsidR="00402161" w:rsidRPr="00D729A9" w:rsidRDefault="00402161" w:rsidP="00D729A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использование средств городского округа город Мегион, направленных в виде субсидий на выполнение муниципального задания и иные цели муниципальным образовательным учреждениям дополнительного образования детей – 1 проверка.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В отчетном периоде контрольные мероприятия осуществлялись в администрации города и ее органах, в Думе города, а также в учреждениях и организациях вне зависимости от видов и форм собственности, получающих средства бюджета города.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Контрольные мероприятия проведены на 22 объектах, в том числе: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2 органа местного самоуправления;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5 органов</w:t>
      </w:r>
      <w:r w:rsidRPr="00D72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9A9">
        <w:rPr>
          <w:rFonts w:ascii="Times New Roman" w:hAnsi="Times New Roman" w:cs="Times New Roman"/>
          <w:sz w:val="24"/>
          <w:szCs w:val="24"/>
        </w:rPr>
        <w:t>администрации города;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14 муниципальных учреждений;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1 муниципальное предприятие.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Контрольными мероприятиями охвачен объем средств на общую сумму 946 164,3 тыс. рублей, в том числе бюджетных средств – 910 129,9 тыс. руб., что составляет 22,4 % от объема расходных обязательств, утвержденных в бюджете муниципального образования на 2012 год. 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Выявлено нарушений и недостатков, имеющих стоимостную оценку, на общую сумму 63 899,6 тыс. рублей, что составило 7 % от объема проверенных бюджетных средств.</w:t>
      </w:r>
    </w:p>
    <w:p w:rsidR="00402161" w:rsidRDefault="00402161" w:rsidP="00402161">
      <w:pPr>
        <w:tabs>
          <w:tab w:val="left" w:pos="567"/>
          <w:tab w:val="left" w:pos="993"/>
        </w:tabs>
        <w:suppressAutoHyphens/>
        <w:spacing w:before="120" w:after="12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1BA49" wp14:editId="6B645696">
            <wp:extent cx="5783580" cy="3627120"/>
            <wp:effectExtent l="0" t="0" r="26670" b="11430"/>
            <wp:docPr id="1" name="Диаграмма 1" title="тыс. руб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161" w:rsidRPr="00D729A9" w:rsidRDefault="00402161" w:rsidP="00D729A9">
      <w:pPr>
        <w:tabs>
          <w:tab w:val="left" w:pos="567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lastRenderedPageBreak/>
        <w:t>Краткая характеристика установленных нарушений.</w:t>
      </w:r>
    </w:p>
    <w:p w:rsidR="00402161" w:rsidRPr="00D729A9" w:rsidRDefault="00402161" w:rsidP="00D729A9">
      <w:pPr>
        <w:tabs>
          <w:tab w:val="left" w:pos="567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средств.</w:t>
      </w:r>
    </w:p>
    <w:p w:rsidR="005D7BDF" w:rsidRDefault="005D7BDF" w:rsidP="00D729A9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161" w:rsidRPr="00D729A9" w:rsidRDefault="00402161" w:rsidP="00D729A9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Допущено учреждениями-исполнителями ведомственных целевых программ при заключении договоров (муниципальных контрактов) на выполнение мероприятий программ.  П</w:t>
      </w:r>
      <w:r w:rsidRPr="00D729A9">
        <w:rPr>
          <w:rFonts w:ascii="Times New Roman" w:eastAsia="Times New Roman" w:hAnsi="Times New Roman" w:cs="Times New Roman"/>
          <w:sz w:val="24"/>
          <w:szCs w:val="24"/>
        </w:rPr>
        <w:t xml:space="preserve">редмет ряда заключенных договоров не соответствует утвержденным мероприятиям -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ar-SA"/>
        </w:rPr>
        <w:t>2999,0 тыс. руб. (МБЛПУ «Городская больница», МБЛПУ «Городская больница №2»).</w:t>
      </w:r>
      <w:r w:rsidRPr="00D7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161" w:rsidRPr="00D729A9" w:rsidRDefault="00402161" w:rsidP="00D729A9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в перечень мероприятий </w:t>
      </w:r>
      <w:r w:rsidRPr="00D729A9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внесены после заключения и исполнения договоров. 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средств: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Опережающие расходы бюджета на срок более шести месяцев без достижения запланированных результатов мероприятий по доработке автоматизированных систем для обеспечения передачи электронных документов с электронной цифровой подписью – 736,7 тыс. руб. (администрация города, департамент финансов, 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ДОиМП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Опережающие расходы бюджета вследствие преждевременной оплаты проектных и строительно-монтажных работ  – 18 803 тыс. руб. (МКУ «Капитальное строительство»).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Получателями бюджетных средств не обеспечена результативность использования выделенных средств: созданные интернет-сайты 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ДОиМП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>, МАУ «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РИКиЭЦ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>» не наполнены необходимым для получения пользователями информации контентом, сайт администрации города не переведен на новое программное обеспечение  – 266,6 тыс. руб.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Опережающие расходы бюджета на срок более 6 месяцев без достижения запланированных результатов в виде затрат на приобретение потоковых сканеров, не используемых по целевому назначению – 102,3 тыс. руб. (администрация города).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A9">
        <w:rPr>
          <w:rFonts w:ascii="Times New Roman" w:hAnsi="Times New Roman" w:cs="Times New Roman"/>
          <w:sz w:val="24"/>
          <w:szCs w:val="24"/>
        </w:rPr>
        <w:t>Длительное не использование бюджетных средств, выделенных на реализацию мероприятий ведомственных целевых программ – 9075,1 тыс. руб. (МБЛПУ «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больница», МБЛПУ «Городская больница №2»).</w:t>
      </w:r>
    </w:p>
    <w:p w:rsidR="00402161" w:rsidRPr="00D729A9" w:rsidRDefault="00402161" w:rsidP="005D7BD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Неэффективное использование муниципальной собственности.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ab/>
        <w:t>Неэффективное использование муниципального имущества вследствие долговременного не предоставления гражданам жилых помещений, приобретенных в рамках реализации целевой окружной программы – 12 261,0 тыс. руб. (департамент муниципальной собственности администрации города).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Неправомерные, избыточные расходы бюджета: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Неправомерное начисление заработной платы в сумме 1097,1 тыс. руб., в том числе: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за отработанное время – 191,6 тыс. руб.,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компенсационных выплат – 56,2 тыс. руб.,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стимулирующих выплат – 792,6 тыс. руб.,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среднего заработка – 43,7 тыс. руб.,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иных выплат – 13 тыс. руб.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(МБОУ ДОД «ДШИ им А.М. Кузьмина», МБОУ СОШ №2, МБОУ ДОД «ДХШ», МБОУ ДОД «ДШИ №2», МБОУ ДОД «ДЮСШ№2»).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 муниципального правового акта, устанавливающего гарантии и компенсации для лиц, проживающих на территории муниципального образования городской округ город Мегион и работающих в организациях, финансируемых из средств местного бюджета, повлекло избыточные расходы бюджета в сумме 429,9 тыс. руб. На момент предоставления пояснений и возражений по актам проверок, нарушения устранены, тем самым предотвращены расходы бюджета в виде страховых взносов в сумме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103,5 тыс. руб. (</w:t>
      </w:r>
      <w:r w:rsidRPr="00D729A9">
        <w:rPr>
          <w:rFonts w:ascii="Times New Roman" w:hAnsi="Times New Roman" w:cs="Times New Roman"/>
          <w:sz w:val="24"/>
          <w:szCs w:val="24"/>
        </w:rPr>
        <w:t>МБОУ ДОД «ДХШ», МБОУ ДОД «ДШИ №2»).</w:t>
      </w:r>
    </w:p>
    <w:p w:rsidR="00402161" w:rsidRPr="00D729A9" w:rsidRDefault="00402161" w:rsidP="00D7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Необоснованное предоставление субсидии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Необоснованное включение сумм налога на добавленную стоимость и транспортно-заготовительных расходов в затраты на проведение работ по капитальному ремонту инженерных сетей, подлежащих возмещению из бюджета, повлекло неправомерное завышение суммы предоставленной субсидии – 1 835,8 тыс. руб. (МУП «</w:t>
      </w:r>
      <w:proofErr w:type="spellStart"/>
      <w:r w:rsidRPr="00D729A9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D729A9">
        <w:rPr>
          <w:rFonts w:ascii="Times New Roman" w:hAnsi="Times New Roman" w:cs="Times New Roman"/>
          <w:sz w:val="24"/>
          <w:szCs w:val="24"/>
        </w:rPr>
        <w:t>»).</w:t>
      </w:r>
    </w:p>
    <w:p w:rsidR="005D7BDF" w:rsidRDefault="005D7BDF" w:rsidP="00D729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lastRenderedPageBreak/>
        <w:t>Нарушение учета и отчетности: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Искажение данных Отчета о расходах и численности работников органов местного самоуправления, избирательных комиссий муниципальных образований, в сторону: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завышения отчетных сумм – 1 054 тыс. руб. (администрация города Мегиона, органы администрации города),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занижения отчетных сумм – 745 тыс. руб. (администрация города Мегиона, органы администрации города).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Неправомерно увеличена первоначальная стоимость объекта недвижимого имущества «Дом культуры» на 750 мест»  - 492,0 тыс. руб. (МКУ «Капитальное строительство).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В нарушение Положения о порядке ведения кассовых операций с банкнотами и монетой Банка России на территории Российской Федерации допущено превышение установленного лимита остатка наличных денег в кассе – 0,05 тыс. руб. (МБОУ ДОД «Детская школа искусств № 2»). 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Прочие нарушения и недостатки: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Завышение стоимости строительно-монтажных работ вследствие неверного расчета индекса изменения стоимости строительно-монтажных работ  – 1 142,5 тыс. руб. (МКУ «Капитальное строительство»).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Несоблюдение установленных процедур и требований бюджетного законодательства Российской Федерации при исполнении бюджетов: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(муниципальный контракт) на выполнение проектно-сметных работ до открытия лимитов бюджетных обязательств – 4 513 тыс. руб. (МКУ «Капитальное строительство»).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Локальные нормативные акты, устанавливающие систему оплаты труда работников учреждений, не всегда соответствуют муниципальным правовым актам. Допускались выплаты, не урегулированные локальными актами -  1 595,3 тыс. руб. (МБОУ ДОД «ДШИ им А.М. Кузьмина», МБОУ СОШ №2).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hAnsi="Times New Roman" w:cs="Times New Roman"/>
          <w:sz w:val="24"/>
          <w:szCs w:val="24"/>
        </w:rPr>
        <w:t>П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нормативов на оплату труда выборных лиц и муниципальных служащих – 6 587,5 тыс. руб.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потери бюджета на содержание неэффективно используемого муниципального имущества (жилых помещений) составили 99,6 тыс. руб. (департамент муниципальной собственности).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Недоплата заработной платы работникам муниципальных учреждений – 64,1 тыс. руб. (</w:t>
      </w:r>
      <w:r w:rsidRPr="00D729A9">
        <w:rPr>
          <w:rFonts w:ascii="Times New Roman" w:hAnsi="Times New Roman" w:cs="Times New Roman"/>
          <w:sz w:val="24"/>
          <w:szCs w:val="24"/>
        </w:rPr>
        <w:t>МБОУ ДОД «ДШИ им. А.М. Кузьмина», МБОУ СОШ №2).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Нарушения, не имеющие стоимостную оценку.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Контрольно-счетной палатой выявлены многочисленные факты нарушений (65 случаев), не имеющих денежную оценку: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Недостатки муниципальных нормативных актов: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Положения о порядке управления муниципальным жилым фондом на территории городского округа город Мегион;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Порядка предоставления субсидий на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 (по результатам проверки внесены изменения в МНА).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 Порядка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 в части несоблюдения процедуры внесения изменений в муниципальное задание допущено на 4 объектах проверки.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Ненадлежащее ведение бюджетного учета: 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- нарушение требований к ведению бухгалтерской документации; 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- отсутствие бухгалтерской документации (оправдательных документов), обязательных реквизитов документов; 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неверное отнесение объектов основных сре</w:t>
      </w:r>
      <w:proofErr w:type="gramStart"/>
      <w:r w:rsidRPr="00D729A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729A9">
        <w:rPr>
          <w:rFonts w:ascii="Times New Roman" w:hAnsi="Times New Roman" w:cs="Times New Roman"/>
          <w:sz w:val="24"/>
          <w:szCs w:val="24"/>
        </w:rPr>
        <w:t>остав амортизационных групп; неверное применение бюджетной классификации Российской Федерации;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несоответствие первичной учетной документации по учету рабочего времени и расчетов по оплате труда;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lastRenderedPageBreak/>
        <w:t>- недостатки оформления первичной учетной документации по учету рабочего времени и расчетов по оплате труда.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Многочисленные нарушения норм Трудового кодекса в части: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- соблюдения порядка принятия, внесения изменений в локальные акты учреждений; 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соблюдения требований трудового законодательства к содержанию трудового договора;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- несоответствие условий оплаты труда в трудовых договорах работников муниципальным правовым актам, локальным актам учреждений.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считает необходимым отметить некачественную  работу специалистов департамента кадровой политики администрации города по заключению трудовых договоров с руководителями муниципальных учреждений, отсутствие мониторинга изменений законодательства, в соответствии с которыми возникает необходимость внесения изменений, дополнений в действующие трудовые договоры.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Недостатки локальных нормативных актов учреждений, повлекшие необъективный подход к начислению стимулирующих выплат работникам.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Недостатки организации и функционирования процесса формирования муниципального заказа при составлении проекта и исполнения бюджета.</w:t>
      </w:r>
    </w:p>
    <w:p w:rsidR="00402161" w:rsidRPr="00D729A9" w:rsidRDefault="00402161" w:rsidP="00D729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Нарушение Гражданского Кодекса,  законодательства о размещении заказов в отношении  соблюдения контрагентами сроков поставки товаров, выполнения работ. Претензионная работа по ряду контрактов не проводится (МКУ «Капитальное строительство»).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Данный вид нарушений допущен 13-тью объектами проверки.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Все нарушения относятся к систематически </w:t>
      </w:r>
      <w:proofErr w:type="gramStart"/>
      <w:r w:rsidRPr="00D729A9">
        <w:rPr>
          <w:rFonts w:ascii="Times New Roman" w:hAnsi="Times New Roman" w:cs="Times New Roman"/>
          <w:sz w:val="24"/>
          <w:szCs w:val="24"/>
        </w:rPr>
        <w:t>выявляемым</w:t>
      </w:r>
      <w:proofErr w:type="gramEnd"/>
      <w:r w:rsidRPr="00D729A9">
        <w:rPr>
          <w:rFonts w:ascii="Times New Roman" w:hAnsi="Times New Roman" w:cs="Times New Roman"/>
          <w:sz w:val="24"/>
          <w:szCs w:val="24"/>
        </w:rPr>
        <w:t>, наносящим бюджету города прямой (непосредственный) ущерб и требующим реализации целого комплекса мер, направленных на их устранение и недопущение в дальнейшем. Частично нарушения устранялись в ходе проведения контрольных мероприятий (4 нарушения на сумму 436 тыс. руб.), частично - по их окончанию.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Результаты проверок характеризуются следующими показателями:</w:t>
      </w:r>
    </w:p>
    <w:p w:rsidR="00402161" w:rsidRPr="00D729A9" w:rsidRDefault="00402161" w:rsidP="00D72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Показатели                    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Составлено актов проверок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представлений для принятия мер по     </w:t>
            </w:r>
            <w:r w:rsidRPr="00D72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устранению нарушений: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- количество нарушений, требующих принятия мер по их устранению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 xml:space="preserve">- подлежит возврату в бюджет  (тыс. руб.)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2 896,8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восстановлено в бюджет за 2012 год (тыс. руб.)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2 265,9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Получено разногласий по количеству нарушений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161" w:rsidRPr="00D729A9" w:rsidTr="00C60FFA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Принято разногласий по нарушениям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1" w:rsidRPr="00D729A9" w:rsidRDefault="00402161" w:rsidP="00D72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>По состоянию на 01 января 2013 года на контроле находится 9 представлений для принятия мер по устранению выявленных нарушений, срок исполнения 7 из них наступает в 2013 году.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A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проведения контрольных мероприятий </w:t>
      </w:r>
      <w:r w:rsidRPr="00D729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адрес руководителей проверяемых объектов направлено 18 писем-запросов о недостаточности принятых мер, а в ряде случаев об отсутствии информации о мерах, направленных на устранение выявленных нарушений.  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729A9">
        <w:rPr>
          <w:rFonts w:ascii="Times New Roman" w:hAnsi="Times New Roman" w:cs="Times New Roman"/>
          <w:sz w:val="24"/>
          <w:szCs w:val="24"/>
        </w:rPr>
        <w:t>онтрольно-счетная палата в процессе проверок оказывала консультации и содействие проверяемым организациям в правильном ведении бухгалтерского учета, соблюдении норм трудового законодательства, устранении иных недостатков.</w:t>
      </w:r>
    </w:p>
    <w:p w:rsidR="00402161" w:rsidRPr="00D729A9" w:rsidRDefault="00402161" w:rsidP="00D729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9A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Контрольно-счетной палатой в течение 2012 года рассмотрены запросы по применению норм действующего законодательства Российской Федерации и нормативно-правового акта представительного органа муниципального образования город Мегион, поступившие от должностных лиц администрации города и учреждений. В представленных ответах на запросы отраженно профессиональное мнение должностных лиц Контрольно-счетной палаты, основанное на правоприменительной практике исследованных вопросов. </w:t>
      </w:r>
    </w:p>
    <w:p w:rsidR="00402161" w:rsidRPr="00D729A9" w:rsidRDefault="00402161" w:rsidP="00D729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В соответствии с заключенным Соглашением между Контрольно-счетной палатой городского округа город Мегион и прокуратурой города Мегиона о сотрудничестве от 10 июля 2012 года все материалы проверок, независимо от их результата были доведены до прокуратуры города Мегиона. Кроме того, е</w:t>
      </w:r>
      <w:r w:rsidRPr="00D729A9">
        <w:rPr>
          <w:rFonts w:ascii="Times New Roman" w:hAnsi="Times New Roman" w:cs="Times New Roman"/>
          <w:sz w:val="24"/>
          <w:szCs w:val="24"/>
        </w:rPr>
        <w:t>жеквартально копии актов проверок направляются в ОМВД России по г. Мегиону.</w:t>
      </w:r>
    </w:p>
    <w:p w:rsidR="00402161" w:rsidRPr="00D729A9" w:rsidRDefault="00402161" w:rsidP="00D7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проверок направлялась в Думу города Мегиона, главе города Мегиона, а также публиковалась в средствах массовой информации и размещалась на сайте Контрольно-счетной палаты в </w:t>
      </w:r>
      <w:proofErr w:type="gramStart"/>
      <w:r w:rsidRPr="00D729A9">
        <w:rPr>
          <w:rFonts w:ascii="Times New Roman" w:hAnsi="Times New Roman" w:cs="Times New Roman"/>
          <w:sz w:val="24"/>
          <w:szCs w:val="24"/>
        </w:rPr>
        <w:t>сети-интернет</w:t>
      </w:r>
      <w:proofErr w:type="gramEnd"/>
      <w:r w:rsidRPr="00D729A9">
        <w:rPr>
          <w:rFonts w:ascii="Times New Roman" w:hAnsi="Times New Roman" w:cs="Times New Roman"/>
          <w:sz w:val="24"/>
          <w:szCs w:val="24"/>
        </w:rPr>
        <w:t>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161" w:rsidRPr="005D7BDF" w:rsidRDefault="00402161" w:rsidP="00D72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Экспертно-аналитическая </w:t>
      </w:r>
      <w:r w:rsidRPr="005D7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402161" w:rsidRPr="00D729A9" w:rsidRDefault="00402161" w:rsidP="00D72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в работе Контрольно-счётной палаты является экспертно-аналитическая деятельность, на основании которой реализуется функция предварительного, текущего и последующего контроля.</w:t>
      </w: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 году проведено 133 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 В рамках данных мероприятий проведена работа по финансовой экспертизе поступивших проектов решений Думы города, проектов постановлений администрации города.</w:t>
      </w:r>
    </w:p>
    <w:p w:rsidR="00402161" w:rsidRPr="00D729A9" w:rsidRDefault="00402161" w:rsidP="00D729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экспертно-аналитической деятельности является система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городского округа город Мегион. Она предполагает непрерывный контрольный процесс за исполнением бюджета каждого финансового года в течение нескольких последовательных стадий: </w:t>
      </w:r>
    </w:p>
    <w:p w:rsidR="00402161" w:rsidRPr="00D729A9" w:rsidRDefault="00402161" w:rsidP="00D729A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7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hyperlink r:id="rId11" w:history="1">
        <w:r w:rsidRPr="00D729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предварительный контроль</w:t>
        </w:r>
      </w:hyperlink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городского округа город Мегион на очередной финансовый год и плановый период. Подготовлено заключение по итогам проведения экспертизы на проект бюджета городского округа город Мегион на 2013 год и плановый период 2014 и 2015 годов;</w:t>
      </w:r>
    </w:p>
    <w:p w:rsidR="00402161" w:rsidRPr="00D729A9" w:rsidRDefault="00402161" w:rsidP="00D729A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D729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оперативный </w:t>
        </w:r>
        <w:proofErr w:type="gramStart"/>
        <w:r w:rsidRPr="00D729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контроль</w:t>
        </w:r>
      </w:hyperlink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городского округа город Мегион текущего финансового года (отчетов за 1 квартал, полугодие и 9 месяцев финансового года) и изменением бюджета городского округа город Мегион. В рамках оперативного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подготовлено 10 заключений;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" w:history="1">
        <w:r w:rsidRPr="00D729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последующий контроль</w:t>
        </w:r>
      </w:hyperlink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бюджета осуществляется путем проведения внешней проверки годового отчета об исполнении бюджета городского округа город Мегион. В период деятельности Контрольно-счетной палаты не вышел период проведения внешней проверки отчета об исполнении бюджета за 2011 год.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Контрольно-счетной палатой проводилась э</w:t>
      </w:r>
      <w:r w:rsidRPr="00D729A9">
        <w:rPr>
          <w:rFonts w:ascii="Times New Roman" w:hAnsi="Times New Roman" w:cs="Times New Roman"/>
          <w:sz w:val="24"/>
          <w:szCs w:val="24"/>
        </w:rPr>
        <w:t xml:space="preserve">кспертиза проектов муниципальных правовых актов, которая представляет собой метод предварительной оценки принятия органами местного самоуправления финансовых решений с целью определения их экономической эффективности и последствий. 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9A9">
        <w:rPr>
          <w:rFonts w:ascii="Times New Roman" w:hAnsi="Times New Roman" w:cs="Times New Roman"/>
          <w:sz w:val="24"/>
          <w:szCs w:val="24"/>
        </w:rPr>
        <w:t>финансово-экономический анализ и оценка проектов муниципальных правовых актов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вопросам: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бюджетного процесса и налогообложения – 8 заключений;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и использования муниципального имущества -  18 заключений;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утверждения долгосрочных целевых и ведомственных программ – 47 заключений;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изменений в действующие программы – 30 заключений;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и виды поощрений – 8 заключений;</w:t>
      </w:r>
    </w:p>
    <w:p w:rsidR="00402161" w:rsidRPr="00D729A9" w:rsidRDefault="00402161" w:rsidP="00D7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порядки, гарантии и прочие – 11 заключений.</w:t>
      </w: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 проектов целевых и ведомственных программ, в большинстве случаях было установлено несоблюдение разработчиками действующих Порядков разработки, утверждения и реализации долгосрочных и ведомственных целевых программ городского округа город Мегион.</w:t>
      </w:r>
    </w:p>
    <w:p w:rsidR="00402161" w:rsidRPr="00D729A9" w:rsidRDefault="00402161" w:rsidP="00D7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типичными были замечания об отсутствии базовых и плановых показателей программ, несоизмеримость показателей и </w:t>
      </w:r>
      <w:r w:rsidRPr="00D729A9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соотношения между ресурсами и результатами их использования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размытость формулировок целей и задач, а также о несовершенстве механизма управления, мониторинга и </w:t>
      </w: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реализации. 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проведённых экспертно-аналитических мероприятий подготовлено 269 замечаний и предложений, из них 245 устранены и приняты.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предложениям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Контрольно-счетной палаты, изложенными в экспертных заключениях предотвращены избыточные и неэффективные расходы бюджета в сумме 2 636,0 тыс. руб.</w:t>
      </w:r>
    </w:p>
    <w:p w:rsidR="00402161" w:rsidRPr="00D729A9" w:rsidRDefault="00402161" w:rsidP="00D7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9A9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проведенных экспертно-аналитических мероприятиях направлялась в Думу города Мегиона, главе города Мегиона, а также публиковалась в средствах массовой информации и размещалась на сайте Контрольно-счетной палаты в </w:t>
      </w:r>
      <w:proofErr w:type="gramStart"/>
      <w:r w:rsidRPr="00D729A9">
        <w:rPr>
          <w:rFonts w:ascii="Times New Roman" w:hAnsi="Times New Roman" w:cs="Times New Roman"/>
          <w:sz w:val="24"/>
          <w:szCs w:val="24"/>
        </w:rPr>
        <w:t>сети-интернет</w:t>
      </w:r>
      <w:proofErr w:type="gramEnd"/>
      <w:r w:rsidRPr="00D729A9">
        <w:rPr>
          <w:rFonts w:ascii="Times New Roman" w:hAnsi="Times New Roman" w:cs="Times New Roman"/>
          <w:sz w:val="24"/>
          <w:szCs w:val="24"/>
        </w:rPr>
        <w:t>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161" w:rsidRPr="005D7BDF" w:rsidRDefault="00402161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Организационная и информационная деятельность</w:t>
      </w:r>
    </w:p>
    <w:p w:rsidR="00402161" w:rsidRPr="00D729A9" w:rsidRDefault="00402161" w:rsidP="00D729A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61" w:rsidRPr="00D729A9" w:rsidRDefault="00402161" w:rsidP="00D729A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организационно-методических мероприятий осуществлялась работа по принятию правовых и локальных актов.</w:t>
      </w:r>
    </w:p>
    <w:p w:rsidR="00402161" w:rsidRPr="00D729A9" w:rsidRDefault="00402161" w:rsidP="00D729A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утверждено 25</w:t>
      </w:r>
      <w:r w:rsidRPr="00D729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по вопросам организации деятельности Контрольно-счетной палаты, в том числе по противодействию коррупции – 14, о создании внутренних постоянно действующих комиссий – 6. Утвержден регламент Контрольно-счетной палаты, план работы на 2012 год и план работы на 2013 год, стандарты деятельности, номенклатура, разработаны должностные инструкции сотрудников Контрольно-счетной палаты. 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 w:rsidRPr="00D729A9">
        <w:rPr>
          <w:rStyle w:val="FontStyle35"/>
          <w:sz w:val="24"/>
          <w:szCs w:val="24"/>
        </w:rPr>
        <w:t xml:space="preserve">Контрольно-счетной палатой организована деятельность по обучению персонала и повышению его квалификации. 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Style w:val="FontStyle34"/>
          <w:sz w:val="24"/>
          <w:szCs w:val="24"/>
        </w:rPr>
      </w:pPr>
      <w:r w:rsidRPr="00D729A9">
        <w:rPr>
          <w:rStyle w:val="FontStyle35"/>
          <w:sz w:val="24"/>
          <w:szCs w:val="24"/>
        </w:rPr>
        <w:t>Шесть сотрудников Контрольно-счетной палаты обучаются в негосударственном образовательном учреждении высшего профессионального образования "Институт финансового контроля и аудита” по двухлетней программе дополнительного профессионального образования по направлению подготовки “Аудитор государственного и муниципального управления”.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г. Ханты-Мансийске двое сотрудников прошли курсы повышения квалификации по программе «Финансовый контроль и управление бюджетными ресурсами муниципальных образований».</w:t>
      </w:r>
    </w:p>
    <w:p w:rsidR="00402161" w:rsidRPr="00D729A9" w:rsidRDefault="00402161" w:rsidP="00D729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доступа к информации о деятельности </w:t>
      </w:r>
      <w:r w:rsidRPr="00D729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Контрольно-счётной палаты 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регламентирована Положением о Контрольно-счётной палате</w:t>
      </w:r>
      <w:r w:rsidRPr="00D729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осуществляется с учетом требований Ф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информируются глава города Мегиона и Дума города Мегиона о результатах проведения контрольных и экспертно-аналитических мероприятий, о плане работы и внесении в него изменений.</w:t>
      </w:r>
    </w:p>
    <w:p w:rsidR="00402161" w:rsidRPr="00D729A9" w:rsidRDefault="00402161" w:rsidP="00D7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доступ к информации о деятельности </w:t>
      </w:r>
      <w:r w:rsidRPr="00D729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Контрольно-счётной палаты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путем размещения информации на официальном сайте Контрольно-счетной палаты в информационно-телекоммуникационной сети Интернет и </w:t>
      </w:r>
      <w:r w:rsidRPr="00D729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опубликования информации в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«Мегионские новости».</w:t>
      </w:r>
    </w:p>
    <w:p w:rsidR="00402161" w:rsidRPr="00D729A9" w:rsidRDefault="00402161" w:rsidP="00D7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2161" w:rsidRPr="005D7BDF" w:rsidRDefault="00402161" w:rsidP="00D7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</w:t>
      </w:r>
    </w:p>
    <w:p w:rsidR="00402161" w:rsidRPr="00D729A9" w:rsidRDefault="00402161" w:rsidP="00D7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Контрольно-счётная палата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организ</w:t>
      </w:r>
      <w:r w:rsidR="005D7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правоохранительными органами. Между прокуратурой города Мегиона  и Контрольно-счетной палатой заключено соглашение, которое определяет основы сотрудничества и взаимодействия.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по требованию прокурора города Мегиона проведено 6 контрольных мероприятий, отчеты всех проведенных контрольных мероприятий направлены в адрес прокуратуры города.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Прокурором города в адрес руководителей объектов контрольных мероприятий внесены 4 представления об устранении выявленных нарушений и недопущению подобных нарушений впредь. Стоит отметить, что Контрольно-счетная палата в большинстве случаев не располагает информацией о принятых мерах прокурорского реагирования, несмотря на то, что в соответствии с заключенным соглашением </w:t>
      </w: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Контрольно-счетной палаты должно осуществляться прокуратурой в обязательном порядке.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по запросу, материалы проверок направляются в ОМВД по г. Мегиону. Согласно представленной ОМВД по г. Мегиону информации, в рамках ст. 144-145 УПК РФ проведена проверка по результатам контрольного мероприятия, проведенного Контрольно-счетной палатой в МОУ «СОШ № 2». По результатам вынесено постановление об отказе в возбуждении уголовного дела ввиду отсутствия состава преступления. Кроме того, ОМВД по г. Мегиону проводится проверка по контрольному мероприятию, проведенному в 2011 году Счетной палатой Думы города Мегиона.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прокуратуры города Мегиона и ОМВД по г. Мегиону  учтены при формировании и утверждении плана работы Контрольно-счетной палаты на 2013 год.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соглашение о сотрудничестве и взаимодействии между Контрольно-счетной палатой и Счетной палатой Ханты-Мансийского автономного округа-Югры в целях обмена опытом в установленной сфере деятельности, планирования и проведения совместных контрольных и экспертно-аналитических мероприятий, внедрения современных информационных технологий и их использования.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является членом Совета органов внешнего финансового контроля Ханты-Мансийского автономного округа – Югры, основными задачами которого является обеспечение единообразия методологических подходов к контрольной и экспертно-аналитической деятельности контрольно-счетных органов на территории Ханты-Мансийского автономного округа - Югры, оказание членам Совета организационной, правовой, информационной, методической и иной помощи, оказание содействия членам Совета в повышении профессионального уровня в сфере внешнего финансового контроля, обобщение и распространение</w:t>
      </w:r>
      <w:proofErr w:type="gramEnd"/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передового опыта осуществления внешнего финансового контроля.</w:t>
      </w:r>
    </w:p>
    <w:p w:rsidR="00402161" w:rsidRPr="00D729A9" w:rsidRDefault="00402161" w:rsidP="00D72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приняла участие в трех заседаниях Совета органов внешнего финансового контроля Ханты-Мансийского автономного округа – Югры, где обсуждались основные аспекты взаимодействия контрольно-счетных органов и органов прокуратуры, актуальные вопросы муниципального финансового контроля на местном уровне, типичные выявляемые нарушения и т.д.</w:t>
      </w:r>
    </w:p>
    <w:p w:rsidR="00402161" w:rsidRPr="00D729A9" w:rsidRDefault="00402161" w:rsidP="00D7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161" w:rsidRPr="00D729A9" w:rsidSect="00A35254">
      <w:headerReference w:type="even" r:id="rId14"/>
      <w:headerReference w:type="default" r:id="rId15"/>
      <w:pgSz w:w="11906" w:h="16838"/>
      <w:pgMar w:top="284" w:right="851" w:bottom="426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B4" w:rsidRDefault="007225B4">
      <w:pPr>
        <w:spacing w:after="0" w:line="240" w:lineRule="auto"/>
      </w:pPr>
      <w:r>
        <w:separator/>
      </w:r>
    </w:p>
  </w:endnote>
  <w:endnote w:type="continuationSeparator" w:id="0">
    <w:p w:rsidR="007225B4" w:rsidRDefault="007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B4" w:rsidRDefault="007225B4">
      <w:pPr>
        <w:spacing w:after="0" w:line="240" w:lineRule="auto"/>
      </w:pPr>
      <w:r>
        <w:separator/>
      </w:r>
    </w:p>
  </w:footnote>
  <w:footnote w:type="continuationSeparator" w:id="0">
    <w:p w:rsidR="007225B4" w:rsidRDefault="007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E" w:rsidRDefault="00D56176" w:rsidP="00F17E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34B2E" w:rsidRDefault="007656EC" w:rsidP="00F17E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E" w:rsidRDefault="00D56176" w:rsidP="00F17E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6EC">
      <w:rPr>
        <w:rStyle w:val="a7"/>
        <w:noProof/>
      </w:rPr>
      <w:t>2</w:t>
    </w:r>
    <w:r>
      <w:rPr>
        <w:rStyle w:val="a7"/>
      </w:rPr>
      <w:fldChar w:fldCharType="end"/>
    </w:r>
  </w:p>
  <w:p w:rsidR="00734B2E" w:rsidRDefault="007656EC" w:rsidP="00A35254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87"/>
    <w:multiLevelType w:val="hybridMultilevel"/>
    <w:tmpl w:val="AEE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3D48"/>
    <w:multiLevelType w:val="hybridMultilevel"/>
    <w:tmpl w:val="B882D480"/>
    <w:lvl w:ilvl="0" w:tplc="AA0E72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D68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4A15D2"/>
    <w:multiLevelType w:val="hybridMultilevel"/>
    <w:tmpl w:val="75DAB000"/>
    <w:lvl w:ilvl="0" w:tplc="F22E7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31E"/>
    <w:multiLevelType w:val="hybridMultilevel"/>
    <w:tmpl w:val="B218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79BC"/>
    <w:multiLevelType w:val="multilevel"/>
    <w:tmpl w:val="CBAE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E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B10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8CA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51072"/>
    <w:rsid w:val="00252D26"/>
    <w:rsid w:val="00254A4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4F48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161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15AE8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92F70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D7BDF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25B4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46EA"/>
    <w:rsid w:val="0075540F"/>
    <w:rsid w:val="007634A8"/>
    <w:rsid w:val="007637B6"/>
    <w:rsid w:val="007647DE"/>
    <w:rsid w:val="00764F32"/>
    <w:rsid w:val="007656EC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7F7F46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280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42BA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18A8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406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91B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6176"/>
    <w:rsid w:val="00D5750B"/>
    <w:rsid w:val="00D6045B"/>
    <w:rsid w:val="00D60C37"/>
    <w:rsid w:val="00D634E5"/>
    <w:rsid w:val="00D6529C"/>
    <w:rsid w:val="00D653D5"/>
    <w:rsid w:val="00D6704B"/>
    <w:rsid w:val="00D71DAB"/>
    <w:rsid w:val="00D729A9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16214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130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F70"/>
  </w:style>
  <w:style w:type="character" w:styleId="a7">
    <w:name w:val="page number"/>
    <w:basedOn w:val="a0"/>
    <w:rsid w:val="00592F70"/>
  </w:style>
  <w:style w:type="paragraph" w:customStyle="1" w:styleId="ConsPlusCell">
    <w:name w:val="ConsPlusCell"/>
    <w:uiPriority w:val="99"/>
    <w:rsid w:val="00402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402161"/>
    <w:pPr>
      <w:ind w:left="720"/>
      <w:contextualSpacing/>
    </w:pPr>
  </w:style>
  <w:style w:type="table" w:styleId="a9">
    <w:name w:val="Table Grid"/>
    <w:basedOn w:val="a1"/>
    <w:uiPriority w:val="59"/>
    <w:rsid w:val="0040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4021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02161"/>
  </w:style>
  <w:style w:type="character" w:customStyle="1" w:styleId="FontStyle35">
    <w:name w:val="Font Style35"/>
    <w:rsid w:val="0040216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rsid w:val="00402161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F70"/>
  </w:style>
  <w:style w:type="character" w:styleId="a7">
    <w:name w:val="page number"/>
    <w:basedOn w:val="a0"/>
    <w:rsid w:val="00592F70"/>
  </w:style>
  <w:style w:type="paragraph" w:customStyle="1" w:styleId="ConsPlusCell">
    <w:name w:val="ConsPlusCell"/>
    <w:uiPriority w:val="99"/>
    <w:rsid w:val="00402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402161"/>
    <w:pPr>
      <w:ind w:left="720"/>
      <w:contextualSpacing/>
    </w:pPr>
  </w:style>
  <w:style w:type="table" w:styleId="a9">
    <w:name w:val="Table Grid"/>
    <w:basedOn w:val="a1"/>
    <w:uiPriority w:val="59"/>
    <w:rsid w:val="0040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4021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02161"/>
  </w:style>
  <w:style w:type="character" w:customStyle="1" w:styleId="FontStyle35">
    <w:name w:val="Font Style35"/>
    <w:rsid w:val="0040216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rsid w:val="00402161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h.gov.ru/ru/expert/follow-u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h.gov.ru/ru/expert/operati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h.gov.ru/ru/expert/befo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3D51E7560DA56A60E825DDE89490158ECC01C53476990E028AF3F779D626A2E8E8FE69380886CDED077L0w5D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2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02945086409655E-2"/>
          <c:y val="9.6757375328083983E-2"/>
          <c:w val="0.82738112281419363"/>
          <c:h val="0.4382043044619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выявленных нарушений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Нецелевое использование бюджетных средств</c:v>
                </c:pt>
                <c:pt idx="1">
                  <c:v>Неэффективное использование бюджетных средств</c:v>
                </c:pt>
                <c:pt idx="2">
                  <c:v>Неэффективное использование муниципальной собственности</c:v>
                </c:pt>
                <c:pt idx="3">
                  <c:v>Необоснованное предоставление субсидии на возмещение затрат</c:v>
                </c:pt>
                <c:pt idx="4">
                  <c:v>Неправомерные, избыточные расходы бюджета</c:v>
                </c:pt>
                <c:pt idx="5">
                  <c:v>Нарушение учета и отчетности</c:v>
                </c:pt>
                <c:pt idx="6">
                  <c:v>Прочие нарушения и недостатки</c:v>
                </c:pt>
              </c:strCache>
            </c:strRef>
          </c:cat>
          <c:val>
            <c:numRef>
              <c:f>Лист1!$B$2:$B$8</c:f>
              <c:numCache>
                <c:formatCode>\О\с\н\о\в\н\о\й</c:formatCode>
                <c:ptCount val="7"/>
                <c:pt idx="0">
                  <c:v>2999</c:v>
                </c:pt>
                <c:pt idx="1">
                  <c:v>28983.7</c:v>
                </c:pt>
                <c:pt idx="2">
                  <c:v>12261</c:v>
                </c:pt>
                <c:pt idx="3">
                  <c:v>1835.8</c:v>
                </c:pt>
                <c:pt idx="4">
                  <c:v>1527</c:v>
                </c:pt>
                <c:pt idx="5">
                  <c:v>2291.1</c:v>
                </c:pt>
                <c:pt idx="6">
                  <c:v>14002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8761891423651095"/>
          <c:y val="0.56038988902320819"/>
          <c:w val="0.69649248389405871"/>
          <c:h val="0.335276430446194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Трофимец Екатерина Евгеньевн</cp:lastModifiedBy>
  <cp:revision>15</cp:revision>
  <dcterms:created xsi:type="dcterms:W3CDTF">2013-03-04T05:50:00Z</dcterms:created>
  <dcterms:modified xsi:type="dcterms:W3CDTF">2013-03-25T05:25:00Z</dcterms:modified>
</cp:coreProperties>
</file>